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:rsidR="00054000" w:rsidRPr="00054000" w:rsidRDefault="00054000" w:rsidP="0005400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sz w:val="40"/>
          <w:szCs w:val="40"/>
        </w:rPr>
      </w:pPr>
      <w:r w:rsidRPr="00054000">
        <w:rPr>
          <w:rFonts w:ascii="TimesNewRomanPSMT" w:hAnsi="TimesNewRomanPSMT" w:cs="TimesNewRomanPSMT"/>
          <w:sz w:val="40"/>
          <w:szCs w:val="40"/>
        </w:rPr>
        <w:t>ICSB,</w:t>
      </w:r>
    </w:p>
    <w:p w:rsidR="00054000" w:rsidRP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054000">
        <w:rPr>
          <w:rFonts w:ascii="TimesNewRomanPSMT" w:hAnsi="TimesNewRomanPSMT" w:cs="TimesNewRomanPSMT"/>
          <w:sz w:val="40"/>
          <w:szCs w:val="40"/>
        </w:rPr>
        <w:t xml:space="preserve">International Institute for Craniosacral Balancing®, 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9D7028" w:rsidRDefault="009D7028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lastRenderedPageBreak/>
        <w:t>Information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International Institute for Craniosacral Balancing</w:t>
      </w:r>
      <w:r>
        <w:rPr>
          <w:rFonts w:ascii="TimesNewRomanPSMT" w:hAnsi="TimesNewRomanPSMT" w:cs="TimesNewRomanPSMT"/>
          <w:sz w:val="13"/>
          <w:szCs w:val="13"/>
        </w:rPr>
        <w:t xml:space="preserve">® </w:t>
      </w:r>
      <w:r>
        <w:rPr>
          <w:rFonts w:ascii="TimesNewRomanPSMT" w:hAnsi="TimesNewRomanPSMT" w:cs="TimesNewRomanPSMT"/>
          <w:sz w:val="20"/>
          <w:szCs w:val="20"/>
        </w:rPr>
        <w:t>has been founded 1986.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 offers a thorough foundation training of over 900hrs., to support and guide students through different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stages of learning and development.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craniosacral model presented in our training, is based on an understanding of the natural life forces,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which organize and maintain our form and function.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This approach sustains the organism in self-regulation and reorganization and supports the forces that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underlie the function of systems.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Our studies over the last 25 years in this field allowed us to deepen the work and expand it to a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comprehensive practitioner training, also accredited by the association Cranio Suisse® of Switzerland, with</w:t>
      </w:r>
      <w:r w:rsidR="00117C7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equivalent standards to the craniosacral associations of the UK, USA, Canada and Italy.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method is inspired by the teachings of the originator of cranial osteopathy, Dr. William Garner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Sutherland, and his pioneering approach with the Breath of Life and primary respiration. We are grateful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for the teachings of the many traditions that bring awareness and mindfulness to our work.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The method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craniosacral method is an approach to bodywork based on the principle of the Breath of Life.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Breath of Life is the life force, which connects us to our being, our core and inherent health. It is a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therapeutic force expressing itself as slow and self-directed tidal movement. This subtle motion resembles a</w:t>
      </w:r>
      <w:r w:rsidR="00117C7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deep inner breath and is therefore also called primary respiration (PR).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 is observed that the motion of primary respiration can be sensed through the whole body and witnessed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as an ordering and organizing principle, an inherent intelligence of the body-mind.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 contact and cooperate with the intelligence of primary respiration for the benefit of the client, a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practitioner needs to develop a finely tuned perception, a capacity to listen with the hands and with a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compassionate, friendly heart, an open non-judgmental mind and an ability to be patient and still.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trained practitioner can perceive primary respiration and use it as a guide to evaluation and treatment.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this professional training the fundamental principles and concepts are taught and extensively practiced.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teachings include embryology, anatomy, physiology, holistic studies and principles of trauma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resolution.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studies of these subjects have the purpose to provide the student with the necessary tools to recognize</w:t>
      </w:r>
      <w:r w:rsidR="00117C7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and support the expression of inherent health of the organism.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practitioner can work with different ages and expressions of health to support maintenance and an inner</w:t>
      </w:r>
      <w:r w:rsidR="00117C7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equilibrium of the organism.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Who is this training program for?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 is for bodyworkers, therapists and healing professionals. For interested lay people in a time of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reorientation. For anyone interested in self-exploration and inquiry through body-mind-spirit awareness.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 is also for craniosacral therapists who want to be trained in the resource-oriented fluid and potency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approach.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Highly Recommended: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Experience in a body oriented therapy form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Personal experience of the craniosacral method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Experience of other holistic forms of therapy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Studies of basic anatomy, physiology and pathology are needed. Extra tuition is required, if there is no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training in these subjects. For different countries, different regulations exist. More information is available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for specific foundation trainings.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lastRenderedPageBreak/>
        <w:t>Course curriculum ICSB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craniosacral training of ICSB is a comprehensive training program.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Three distinctly different parts form the course curriculum: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 Teaching program (class room hours)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 Practice (between seminars)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3) Self-studies (between seminars)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1) Teaching program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training extends over two to three years and 500 class room hours.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teaching hours in class are divided in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- 350 hrs. craniosacral specific teachings (content of seminars below)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- 150 hrs. method specific basic knowledge in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embryology, anatomy, physiology, pathology, neurology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psychosomatics, trauma resolution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resource oriented case history intake, evaluation, ethics, hygiene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program has 7 seminars. Most of them are each divided in 2 parts with a break between the parts to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integrate the material.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2) Practice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- 150 practice sessions between seminars, written up and documented. Practice sessions are given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outside of class with non-fee paying clients.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- 2 extensive case studies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- 20 hrs. supervision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- 3 Feedback sessions/tutorials with teachers/assistants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Practice days under supervision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Receiving sessions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- 20 sessions from 3 different craniosacral practitioners (in North America 10 from RCST</w:t>
      </w:r>
      <w:r>
        <w:rPr>
          <w:rFonts w:ascii="TimesNewRomanPSMT" w:hAnsi="TimesNewRomanPSMT" w:cs="TimesNewRomanPSMT"/>
          <w:sz w:val="13"/>
          <w:szCs w:val="13"/>
        </w:rPr>
        <w:t>®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- 40 sessions as intervision with peers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3) Self-studies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Designated homework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Reading of method related specific literature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Studies of the course material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Studies of method specific anatomy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Completion of a written, creative research project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Practice and self-study outside the teaching hours can add up to an additional 450 hrs. and are part of the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course curriculum.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 skills and educational objectives are evaluated through: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Feedback sessions, tutorials and supervision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Discussion of the documented sessions, case studies and homework</w:t>
      </w:r>
      <w:r w:rsidR="00117C7A">
        <w:rPr>
          <w:rFonts w:ascii="TimesNewRomanPSMT" w:hAnsi="TimesNewRomanPSMT" w:cs="TimesNewRomanPSMT"/>
          <w:sz w:val="20"/>
          <w:szCs w:val="20"/>
        </w:rPr>
        <w:t>.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Training methods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This training does not only teach anatomy or impart scientific knowledge and clinical and practice-oriented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skills, but also provides opportunities for personal experience and growth.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All students experience the work on themselves. Therefore the learning occurs largely via observation and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exploration. It is from this inner learning and knowing that we meet the clients.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training methods include: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Teachings and lectures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Awareness and perceptual exercises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Visualizations and meditations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Movement exercises and creative expression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Use of visual aids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Session demonstrations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Guided sessions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Exploration and inquiry practices, either verbal or hands-on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Small group feedback, debriefing and sharings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Practice sessions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Feedback sessions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Content and learning objectives of teaching program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Seminar 1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Coming into contact – building a safe therapeutic relationship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Seminar 1 is resource and health oriented.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 addresses the state of the practitioner and development of perception.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Students learn the necessary skills to come into appropriate relationship with the health of the human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organism and with its expression, the primary respiration.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emphasis is on facilitating the vitality within each of us, encouraging a fuller expression of life and of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our potential as physical and spiritual human beings.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Content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History and evolution of craniosacral work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Fulcrums and presence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state of the practitioner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Establishing a safe relational field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Resources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Developing perceptual and listening skills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matrix of health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primary respiratory system and biodynamic principles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Breath of Life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Primary respiration and its manifestations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primary respiratory mechanism, anatomy and physiology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Mobility and motility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neurocranium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General listening positions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Settling into stillness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Educational objectives of Seminar 1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After seminar 1 the student will be able to: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Negotiate contact and boundaries in a therapeutic relationship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Establish a safe and respectful session environment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Access and utilize the principle of resources to support self-regulation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Practice different listening positions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Perceive and recognize health in the system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>Support and invite stillness for wholeness and regeneration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Seminar 2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Remembering wholeness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Seminar 2 introduces further fundamental principles of the approach.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Embryology is taught as a phenomenological approach to understanding forces in action.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art of listening is practiced and refined.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importance of systemic neutrality is taught in different contexts.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When the primary respiratory system settles, it reaches a state of unity. This state supports the relationship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between the body and the organizing forces of health.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practitioner learns to deepen the settling processes.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Content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three settlings of practitioner and client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holistic shift: coming to a sense of neutrality and wholeness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Trusting the Breath of Life and primary respiration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Refine perceptual skills and sensory awareness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Morphological and phenomenological embryology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formation of the midline and embryonal development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body of fluids and its expression, the mid-tide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History and health expressed through primary respiration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Reciprocal tension membrane and its motility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Structural and functional inter-relationships between the bones of the neurocranium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felt sense as a tool to support autonomic nervous system regulation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Stillness and the exhalation process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Inherent treatment plan part 1: Settling and remembering wholeness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Educational objectives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Having completed seminar 2 the student will practice simple, yet profound health oriented perceptual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exercises where self-regulation and regeneration is supported.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After seminar 2 the student will be able to: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Differentiate aspects of unity and neutrality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Recognize and interact with different manifestations of soma, fluids, forces and stillness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Perceive tissues, fluids and potency as a unit of function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Sense and define mobility and motility of structures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Recognize potency in action and the forces of health in the body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Facilitate the regulatory forces of the autonomic nervous system (ANS)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Practice the principles during individual sessions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- Perceive regulatory changes in the client’s system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Seminar 3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core of support – relationships between midline and the whole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main subject of seminar 3 is the exploration of the different midlines and their relevance in organizing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maintaining unity and wholeness.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embryological model is at the basis of the understanding of the forces that underlay the expressions of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life in structure and function.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teaching program will follow the structures from the core to the periphery.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the practice sessions we develop skills and tools to support resolution of patterns and strains of the spine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the fascia system.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Additional tools for the resolution of trauma will be presented and practiced.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biodynamic view, which treats the individual and not the symptom, allows the organism to resolve its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issues in a holistic way.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Content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different midlines: quantum midline, primary midline, fluid midline and structural midline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Biodynamic forces and biokinetic forces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Natural fulcrums and inertial fulcrums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process of the state of balance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Natural augmentation processes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duraltube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spine and vertebrae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Clinical skills with fluids and potency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horizontal fascia layers: the diaphragms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occipital triad: occiput, atlas, axis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function of the autonomic nervous system in self-regulation and stress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Stillness and the inhalation process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inherent treatment plan, part 2: Orientation to the state of balance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Educational objectives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After seminar 3 the student will be able to: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Perceive and work with different midline dynamics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Distinguish between conditional motion and expressions of health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Work with the state of balance with articular structures and fascia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Support normalization of vertebrae dynamics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Cooperate with the inherent forces of health and support their expression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Apply skills for resolution of traumatic stress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Differentiate between stillness processes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- Have a deeper understanding of the concept of the inherent treatment plan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Seminar 4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cranial base and reflections of the whole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Seminar 4 deepens the studies of classical approaches while keeping the orientation to the expression of life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forces and wholeness. The influence of birthing factors, trauma impacts and clinical issues relating to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cranial and pelvic patterns are presented.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sphenobasilar junction (SBJ), a natural fulcrum for the primary midline, allows physiological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compensatory adjustments that reflect the history of the individual.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this seminar the student learns tools to work with the different patterns of the cranial base and its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relationship with the temporomandibular joint and the pelvis.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Content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Inertial forces and their effect on the foramen magnum and jugular foramen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Venous sinuses and drainage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Physiology and anatomy of the cranial base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Classical dynamics of the temporal bones, occiput and sphenoid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Patterns of the SBJ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Pelvis and sacrum in relationship to cranial base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Temporomandibular joint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Additional tools for trauma resolution: activation and discharge of the ANS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inherent treatment plan, part 3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Educational objectives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After seminar 4 the student will be able to: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Recognize stagnation in fluids and facilitate drainage and flow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Perceive and recognize physiological cranial base patterns and support their resolution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Understand and work with the relationship between cranium and pelvis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Work with the mandible to support resolution of related TMJ issues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Deepen the understanding of trauma and facilitate the self-regulatory capacities of the ANS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Seminar 5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Interaction with the world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this seminar we will study the dynamics of the face, hard palate and stomatognathic system. The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viscerocranium is the part of our cranium, which grows and transforms the most from childhood to adult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life. Its balance is essential for the full expression of health.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laws of the tidal body and the expressions of the tide are deepened. Orientation toward field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phenomena supports the building of potency for the healing process. We will learn to recognize and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appreciate igniting forces of potency and their vitalizing action.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work with the motility of the CNS and of the ventricle system is explored from an embryological point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view. It is an important approach for the expression of the vitality and for the embodiment of the human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being.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Contents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stomatognathic system: anatomy, physiology and therapeutic approaches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Embryology and the pharyngeal arches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Neurocranium and viscerocranium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relationship between structures of the viscerocranium, motility and mobility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Resolution of inertial patterns of the facial structures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PR and motility of the CNS and the ventricular system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Resource oriented case history intake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inherent treatment plan, part 4: Orientation to the tide and the tidal body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Educational objectives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After seminar 5 the student will be able to: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Recognize inertial patterns of the face and stomatognathic system and support resolution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Compile case history intakes in a resourceful way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Relate to the field of the tide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Perceive and interact with the motility of the CNS and ventricles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Recognize processes of ignition and support embodiment of life forces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>Work according to the principles of the inherent treatment plan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Seminar 6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Posttraumatic stress and the facilitation of the nervous system (NS)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orientation towards health is our guide to work with the functions of the NS. Various levels of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facilitation in the nervous system will be looked at in local and systemic approaches. De-facilitation allows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NS to perform its functions of communication, regulation and integration according to the project of the</w:t>
      </w:r>
      <w:r w:rsidR="00117C7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original matrix.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Content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Trauma resolution skills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psycho-physiology of trauma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social nervous system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Polyvagal theory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Practice of verbal communication skills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tide as an antidote to trauma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Educational objectives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After seminar 6 the student will be able to: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Recognize the onset of trauma affect in a session and effectively support the client towards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resolution and integration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Support discharge and normal response to nervous stimuli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Help the clients to contact inner resources and to recognize and enhance their relationship to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health, even if traumatic issues are present.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Offer antidotes to the after-effect of traumatic events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Seminar 7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Deepening and completion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Seminar 7 intends to ground the students in their knowledge and skills and to further their competences for</w:t>
      </w:r>
      <w:r w:rsidR="00117C7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individual practice. The study program is completed with specific principles of evaluation and work related</w:t>
      </w:r>
      <w:r w:rsidR="00117C7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 birth dynamics and fascia tracts.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Content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Sequences and transitions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Continuity and coherency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From stillness to soma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Ignition processes, processes of embodiment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Birth dynamics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fluid-crystal matrix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Extremities and their natural fulcrums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Fascia tracts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Ethics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The inherent treatment plan as evaluation and treatment, part 6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Exams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Final certification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Educational objectives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After seminar 7 the student will be able to: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Sense continuity and coherency in the system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Work with sequences and transitions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Appreciate the forces of the tide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Work with fascia and whole body patterns in an integrated way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Be comfortable with different treatment approaches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Use different skills according to the inherent treatment plan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Support the reconnection with their inherent health and reorient to a deeper connectedness to self.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Content and sequence of material can change, according to the needs of the class and development of skills.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Certification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Prerequisites for graduation and certification: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Completion of course curriculum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Competences and skills assessed and evaluated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Written project presented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All exams passed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certificate as craniosacral practitioner is issued after completion of all prerequisites.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We support self-study and practice, with the intention that they can all be completed at the end of the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program.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Students may also elect to not acquire a practitioner certification. Practice and self-studies between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seminars are still part of the program and necessary to be able to follow the curriculum.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Certification Options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20"/>
          <w:szCs w:val="20"/>
        </w:rPr>
        <w:t>All graduates can apply for membership with ICSB, the International Institute for Craniosacral Balancing</w:t>
      </w:r>
      <w:r>
        <w:rPr>
          <w:rFonts w:ascii="TimesNewRomanPSMT" w:hAnsi="TimesNewRomanPSMT" w:cs="TimesNewRomanPSMT"/>
          <w:sz w:val="13"/>
          <w:szCs w:val="13"/>
        </w:rPr>
        <w:t>®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are permitted to use the name Craniosacral Balancing</w:t>
      </w:r>
      <w:r>
        <w:rPr>
          <w:rFonts w:ascii="TimesNewRomanPSMT" w:hAnsi="TimesNewRomanPSMT" w:cs="TimesNewRomanPSMT"/>
          <w:sz w:val="13"/>
          <w:szCs w:val="13"/>
        </w:rPr>
        <w:t xml:space="preserve">® </w:t>
      </w:r>
      <w:r>
        <w:rPr>
          <w:rFonts w:ascii="TimesNewRomanPSMT" w:hAnsi="TimesNewRomanPSMT" w:cs="TimesNewRomanPSMT"/>
          <w:sz w:val="20"/>
          <w:szCs w:val="20"/>
        </w:rPr>
        <w:t>and the logo. For a nominal yearly membership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fee certified practitioners can also be listed in the international practitioner registry.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Graduates can become known as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BCST (Biodynamic Craniosacral Therapist) or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RCST</w:t>
      </w:r>
      <w:r>
        <w:rPr>
          <w:rFonts w:ascii="TimesNewRomanPSMT" w:hAnsi="TimesNewRomanPSMT" w:cs="TimesNewRomanPSMT"/>
          <w:sz w:val="13"/>
          <w:szCs w:val="13"/>
        </w:rPr>
        <w:t xml:space="preserve">® </w:t>
      </w:r>
      <w:r>
        <w:rPr>
          <w:rFonts w:ascii="TimesNewRomanPSMT" w:hAnsi="TimesNewRomanPSMT" w:cs="TimesNewRomanPSMT"/>
          <w:sz w:val="20"/>
          <w:szCs w:val="20"/>
        </w:rPr>
        <w:t>(Registered Craniosacral Therapist)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BCST comes from ICSB as part of its membership in IABT (International Affiliation of Biodynamic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Trainings) and requires no renewal; once attained, it is permanent.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RCST</w:t>
      </w:r>
      <w:r>
        <w:rPr>
          <w:rFonts w:ascii="TimesNewRomanPSMT" w:hAnsi="TimesNewRomanPSMT" w:cs="TimesNewRomanPSMT"/>
          <w:sz w:val="13"/>
          <w:szCs w:val="13"/>
        </w:rPr>
        <w:t xml:space="preserve">® </w:t>
      </w:r>
      <w:r>
        <w:rPr>
          <w:rFonts w:ascii="TimesNewRomanPSMT" w:hAnsi="TimesNewRomanPSMT" w:cs="TimesNewRomanPSMT"/>
          <w:sz w:val="20"/>
          <w:szCs w:val="20"/>
        </w:rPr>
        <w:t>comes from BCTA/NA (Biodynamic Craniosacral Therapy Association of North America) on the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basis of our status as an approved training; it requires ongoing membership in BCTA/NA and adherence to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its practitioner requirements and regulations. North American graduates have the possibility to register for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RCST</w:t>
      </w:r>
      <w:r>
        <w:rPr>
          <w:rFonts w:ascii="TimesNewRomanPSMT" w:hAnsi="TimesNewRomanPSMT" w:cs="TimesNewRomanPSMT"/>
          <w:sz w:val="13"/>
          <w:szCs w:val="13"/>
        </w:rPr>
        <w:t>®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17C7A" w:rsidRDefault="00117C7A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Instructors</w:t>
      </w:r>
    </w:p>
    <w:p w:rsidR="00F0193C" w:rsidRDefault="00F0193C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193C" w:rsidRDefault="00F0193C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Bhadrena Tschumi Gemin, MA, BCST, RCST®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She is the founder and coordinator of ICSB.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She is a trained teacher and an educator. Her formal education was in Switzerland and the USA. She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entered the field of humanistic psychology with trainings in different approaches (Gestalt, TZI, Roger,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NLP, Focusing, prenatal and birth psychology, developmental psychology). She spent 2 years at the Esalen</w:t>
      </w:r>
      <w:r w:rsidR="00F1689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Institute in Big Sur, where she was trained in Gestalt therapy and bodywork, specifically in the Esalen</w:t>
      </w:r>
      <w:r w:rsidR="00F1689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massage and in the Trager approach. In the 80’s she discovered Craniosacral Therapy as a therapeutic</w:t>
      </w:r>
      <w:r w:rsidR="00F1689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approach and it turned out to become the work, which inspired her the most and which she is passionate</w:t>
      </w:r>
      <w:r w:rsidR="00F1689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about until today.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1986 she founded the ICSB, International Institute for Craniosacral Balancing</w:t>
      </w:r>
      <w:r>
        <w:rPr>
          <w:rFonts w:ascii="TimesNewRomanPSMT" w:hAnsi="TimesNewRomanPSMT" w:cs="TimesNewRomanPSMT"/>
          <w:sz w:val="13"/>
          <w:szCs w:val="13"/>
        </w:rPr>
        <w:t xml:space="preserve">® </w:t>
      </w:r>
      <w:r>
        <w:rPr>
          <w:rFonts w:ascii="TimesNewRomanPSMT" w:hAnsi="TimesNewRomanPSMT" w:cs="TimesNewRomanPSMT"/>
          <w:sz w:val="20"/>
          <w:szCs w:val="20"/>
        </w:rPr>
        <w:t>and created a unique and</w:t>
      </w:r>
      <w:r w:rsidR="00F1689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comprehensive training program. In the 30 years of experience in the field of therapy and the healing arts</w:t>
      </w:r>
      <w:r w:rsidR="00F1689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her approach in the craniosacral method evolved organically and underwent many different stages to reach</w:t>
      </w:r>
      <w:r w:rsidR="00F1689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the expression in the current training program. She is now teaching the biodynamic approach to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craniosacral therapy and integrates the newest understandings of neurobiology, embryology, trauma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resolution, pre- and perinatal therapy and the essential work of the Diamond Logos approach in the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professional craniosacral trainings of the ICSB.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She is teaching in Europe, Japan, Canada, Australia and India. On her travels she inspired thousands of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people and is happy to pass on her passion for Craniosacral Biodynamics.</w:t>
      </w:r>
    </w:p>
    <w:p w:rsidR="00F0193C" w:rsidRDefault="00F0193C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Kavi Alessandro Gemin, Osteopath, BCST, RCST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®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He received his Master of Art in 1984 from Istituto d’Arte in Florence. In his early professional life he has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been working as an art teacher and art therapist. He has been practicing art therapy with adults, children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physically and mentally challenged people for many years.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He then continued his training in massage, deep tissue work, NLP, primal and co-dependency therapy. He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completed additional education as an osteopath and is a member of the Canadian college of Osteopathy.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He is supervising trauma trainings for the Somatic Experiencing</w:t>
      </w:r>
      <w:r>
        <w:rPr>
          <w:rFonts w:ascii="TimesNewRomanPSMT" w:hAnsi="TimesNewRomanPSMT" w:cs="TimesNewRomanPSMT"/>
          <w:sz w:val="13"/>
          <w:szCs w:val="13"/>
        </w:rPr>
        <w:t xml:space="preserve">® </w:t>
      </w:r>
      <w:r>
        <w:rPr>
          <w:rFonts w:ascii="TimesNewRomanPSMT" w:hAnsi="TimesNewRomanPSMT" w:cs="TimesNewRomanPSMT"/>
          <w:sz w:val="20"/>
          <w:szCs w:val="20"/>
        </w:rPr>
        <w:t>Trauma Institute</w:t>
      </w:r>
      <w:r>
        <w:rPr>
          <w:rFonts w:ascii="TimesNewRomanPSMT" w:hAnsi="TimesNewRomanPSMT" w:cs="TimesNewRomanPSMT"/>
          <w:sz w:val="13"/>
          <w:szCs w:val="13"/>
        </w:rPr>
        <w:t xml:space="preserve">TM </w:t>
      </w:r>
      <w:r>
        <w:rPr>
          <w:rFonts w:ascii="TimesNewRomanPSMT" w:hAnsi="TimesNewRomanPSMT" w:cs="TimesNewRomanPSMT"/>
          <w:sz w:val="20"/>
          <w:szCs w:val="20"/>
        </w:rPr>
        <w:t>of Peter Levine, he is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teacher for the essence work in the Diamond Logos Teachings</w:t>
      </w:r>
      <w:r>
        <w:rPr>
          <w:rFonts w:ascii="TimesNewRomanPSMT" w:hAnsi="TimesNewRomanPSMT" w:cs="TimesNewRomanPSMT"/>
          <w:sz w:val="13"/>
          <w:szCs w:val="13"/>
        </w:rPr>
        <w:t xml:space="preserve">® </w:t>
      </w:r>
      <w:r>
        <w:rPr>
          <w:rFonts w:ascii="TimesNewRomanPSMT" w:hAnsi="TimesNewRomanPSMT" w:cs="TimesNewRomanPSMT"/>
          <w:sz w:val="20"/>
          <w:szCs w:val="20"/>
        </w:rPr>
        <w:t>of Faisal Muqaddam and practices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prenatal and birth work after studies with Ray Castellino.</w:t>
      </w:r>
    </w:p>
    <w:p w:rsidR="00054000" w:rsidRDefault="00054000" w:rsidP="000540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Kavi teaches and practices Craniosacral Balancing</w:t>
      </w:r>
      <w:r>
        <w:rPr>
          <w:rFonts w:ascii="TimesNewRomanPSMT" w:hAnsi="TimesNewRomanPSMT" w:cs="TimesNewRomanPSMT"/>
          <w:sz w:val="13"/>
          <w:szCs w:val="13"/>
        </w:rPr>
        <w:t xml:space="preserve">® </w:t>
      </w:r>
      <w:r>
        <w:rPr>
          <w:rFonts w:ascii="TimesNewRomanPSMT" w:hAnsi="TimesNewRomanPSMT" w:cs="TimesNewRomanPSMT"/>
          <w:sz w:val="20"/>
          <w:szCs w:val="20"/>
        </w:rPr>
        <w:t>since 1995 and is a teacher and co-director of the</w:t>
      </w:r>
    </w:p>
    <w:p w:rsidR="000728C3" w:rsidRDefault="00054000" w:rsidP="00054000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International Institute for Craniosacral Balancing</w:t>
      </w:r>
      <w:r>
        <w:rPr>
          <w:rFonts w:ascii="TimesNewRomanPSMT" w:hAnsi="TimesNewRomanPSMT" w:cs="TimesNewRomanPSMT"/>
          <w:sz w:val="13"/>
          <w:szCs w:val="13"/>
        </w:rPr>
        <w:t>®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F1689F" w:rsidRDefault="00F1689F" w:rsidP="00054000">
      <w:pPr>
        <w:rPr>
          <w:rFonts w:ascii="TimesNewRomanPSMT" w:hAnsi="TimesNewRomanPSMT" w:cs="TimesNewRomanPSMT"/>
          <w:sz w:val="20"/>
          <w:szCs w:val="20"/>
        </w:rPr>
      </w:pPr>
    </w:p>
    <w:p w:rsidR="00F1689F" w:rsidRDefault="00F1689F" w:rsidP="00054000">
      <w:pPr>
        <w:rPr>
          <w:rFonts w:ascii="TimesNewRomanPSMT" w:hAnsi="TimesNewRomanPSMT" w:cs="TimesNewRomanPSMT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228850" cy="1971675"/>
            <wp:effectExtent l="19050" t="0" r="0" b="0"/>
            <wp:docPr id="1" name="Picture 1" descr="B&amp;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&amp;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8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93C" w:rsidRPr="00054000" w:rsidRDefault="00F0193C" w:rsidP="00054000">
      <w:pPr>
        <w:rPr>
          <w:rFonts w:ascii="Verdana" w:hAnsi="Verdana"/>
        </w:rPr>
      </w:pPr>
    </w:p>
    <w:sectPr w:rsidR="00F0193C" w:rsidRPr="00054000" w:rsidSect="005531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42" w:rsidRDefault="00AC5C42" w:rsidP="00054000">
      <w:pPr>
        <w:spacing w:after="0" w:line="240" w:lineRule="auto"/>
      </w:pPr>
      <w:r>
        <w:separator/>
      </w:r>
    </w:p>
  </w:endnote>
  <w:endnote w:type="continuationSeparator" w:id="1">
    <w:p w:rsidR="00AC5C42" w:rsidRDefault="00AC5C42" w:rsidP="0005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7A" w:rsidRDefault="00117C7A" w:rsidP="00117C7A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ICSB, International Institute for Craniosacral Balancing</w:t>
    </w:r>
    <w:r>
      <w:rPr>
        <w:rFonts w:ascii="TimesNewRomanPSMT" w:hAnsi="TimesNewRomanPSMT" w:cs="TimesNewRomanPSMT"/>
        <w:sz w:val="10"/>
        <w:szCs w:val="10"/>
      </w:rPr>
      <w:t>®</w:t>
    </w:r>
    <w:r>
      <w:rPr>
        <w:rFonts w:ascii="TimesNewRomanPSMT" w:hAnsi="TimesNewRomanPSMT" w:cs="TimesNewRomanPSMT"/>
        <w:sz w:val="16"/>
        <w:szCs w:val="16"/>
      </w:rPr>
      <w:t>, Ländlistr. 119, CH-3047 Bremgarten, Switzerland</w:t>
    </w:r>
  </w:p>
  <w:p w:rsidR="00054000" w:rsidRDefault="00117C7A" w:rsidP="00117C7A">
    <w:pPr>
      <w:pStyle w:val="Footer"/>
    </w:pPr>
    <w:r>
      <w:rPr>
        <w:rFonts w:ascii="TimesNewRomanPSMT" w:hAnsi="TimesNewRomanPSMT" w:cs="TimesNewRomanPSMT"/>
        <w:sz w:val="16"/>
        <w:szCs w:val="16"/>
      </w:rPr>
      <w:t>Tel. +41 31 301 30 42, Fax +41 301 67 91, e-mail: info@icsb.ch www.icsb.ch</w:t>
    </w:r>
  </w:p>
  <w:p w:rsidR="00054000" w:rsidRDefault="00054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42" w:rsidRDefault="00AC5C42" w:rsidP="00054000">
      <w:pPr>
        <w:spacing w:after="0" w:line="240" w:lineRule="auto"/>
      </w:pPr>
      <w:r>
        <w:separator/>
      </w:r>
    </w:p>
  </w:footnote>
  <w:footnote w:type="continuationSeparator" w:id="1">
    <w:p w:rsidR="00AC5C42" w:rsidRDefault="00AC5C42" w:rsidP="0005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00" w:rsidRDefault="00054000">
    <w:pPr>
      <w:pStyle w:val="Header"/>
    </w:pPr>
    <w:r>
      <w:rPr>
        <w:noProof/>
      </w:rPr>
      <w:drawing>
        <wp:inline distT="0" distB="0" distL="0" distR="0">
          <wp:extent cx="5943600" cy="1338816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38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000" w:rsidRDefault="000540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00"/>
    <w:rsid w:val="00054000"/>
    <w:rsid w:val="000D4CB4"/>
    <w:rsid w:val="00117C7A"/>
    <w:rsid w:val="00210349"/>
    <w:rsid w:val="00553139"/>
    <w:rsid w:val="00671FA8"/>
    <w:rsid w:val="009D7028"/>
    <w:rsid w:val="00AC5C42"/>
    <w:rsid w:val="00F0193C"/>
    <w:rsid w:val="00F1689F"/>
    <w:rsid w:val="00F6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00"/>
  </w:style>
  <w:style w:type="paragraph" w:styleId="Footer">
    <w:name w:val="footer"/>
    <w:basedOn w:val="Normal"/>
    <w:link w:val="FooterChar"/>
    <w:uiPriority w:val="99"/>
    <w:unhideWhenUsed/>
    <w:rsid w:val="0005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</dc:creator>
  <cp:keywords/>
  <dc:description/>
  <cp:lastModifiedBy>abhijeet</cp:lastModifiedBy>
  <cp:revision>3</cp:revision>
  <dcterms:created xsi:type="dcterms:W3CDTF">2012-01-28T05:38:00Z</dcterms:created>
  <dcterms:modified xsi:type="dcterms:W3CDTF">2012-01-28T06:18:00Z</dcterms:modified>
</cp:coreProperties>
</file>